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教育部办公厅关于实施一流本科专业建设“双万计划”的通知</w:t>
      </w:r>
    </w:p>
    <w:p>
      <w:pPr>
        <w:tabs>
          <w:tab w:val="left" w:pos="742"/>
        </w:tabs>
        <w:spacing w:line="600" w:lineRule="exact"/>
        <w:jc w:val="center"/>
      </w:pPr>
      <w:r>
        <w:rPr>
          <w:rFonts w:hint="eastAsia"/>
        </w:rPr>
        <w:t>教高厅函〔</w:t>
      </w:r>
      <w:r>
        <w:t>2019〕18号</w:t>
      </w:r>
    </w:p>
    <w:p>
      <w:pPr>
        <w:tabs>
          <w:tab w:val="left" w:pos="742"/>
        </w:tabs>
        <w:spacing w:line="600" w:lineRule="exact"/>
      </w:pPr>
      <w:r>
        <w:rPr>
          <w:rFonts w:hint="eastAsia"/>
        </w:rPr>
        <w:t>各省、自治区、直辖市教育厅（教委），新疆生产建设兵团教育局，有关部门（单位）教育司（局），部属各高等学校、部省合建各高等学校：</w:t>
      </w:r>
    </w:p>
    <w:p>
      <w:pPr>
        <w:tabs>
          <w:tab w:val="left" w:pos="742"/>
        </w:tabs>
        <w:spacing w:line="600" w:lineRule="exact"/>
        <w:ind w:firstLine="640" w:firstLineChars="200"/>
      </w:pPr>
      <w:r>
        <w:rPr>
          <w:rFonts w:hint="eastAsia"/>
        </w:rPr>
        <w:t>为深入落实全国教育大会和《加快推进教育现代化实施方案（</w:t>
      </w:r>
      <w:r>
        <w:t>2018—2022年）》精神，贯彻落实新时代全国高校本科教育工作会议和《教育部关于加快建设高水平本科教育 全面提高人才培养能力的意见》、“六卓越一拔尖”计划2.0系列文件要求，推动新工科、新医科、新农科、新文科建设，做强一流本科、建设一流专业、培养一流人才，全面振兴本科教育，提高高校人才培养能力，实现高等教育内涵式发展，经研究，教育部决定全面实施“六卓越一拔尖”计划2.0，启动一流本科专业建设“双万计划”,现将有关事项通知如下。</w:t>
      </w:r>
    </w:p>
    <w:p>
      <w:pPr>
        <w:tabs>
          <w:tab w:val="left" w:pos="742"/>
        </w:tabs>
        <w:spacing w:line="600" w:lineRule="exact"/>
        <w:ind w:firstLine="640" w:firstLineChars="200"/>
        <w:rPr>
          <w:rFonts w:ascii="黑体" w:hAnsi="黑体" w:eastAsia="黑体"/>
        </w:rPr>
      </w:pPr>
      <w:r>
        <w:rPr>
          <w:rFonts w:hint="eastAsia" w:ascii="黑体" w:hAnsi="黑体" w:eastAsia="黑体"/>
        </w:rPr>
        <w:t>一、主要任务</w:t>
      </w:r>
    </w:p>
    <w:p>
      <w:pPr>
        <w:tabs>
          <w:tab w:val="left" w:pos="742"/>
        </w:tabs>
        <w:spacing w:line="600" w:lineRule="exact"/>
        <w:ind w:firstLine="640" w:firstLineChars="200"/>
      </w:pPr>
      <w:r>
        <w:t>2019—2021年，建设10000个左右国家级一流本科专业点和10000个左右省级一流本科专业点。</w:t>
      </w:r>
    </w:p>
    <w:p>
      <w:pPr>
        <w:tabs>
          <w:tab w:val="left" w:pos="742"/>
        </w:tabs>
        <w:spacing w:line="600" w:lineRule="exact"/>
        <w:ind w:firstLine="640" w:firstLineChars="200"/>
        <w:rPr>
          <w:rFonts w:ascii="黑体" w:hAnsi="黑体" w:eastAsia="黑体"/>
        </w:rPr>
      </w:pPr>
      <w:r>
        <w:rPr>
          <w:rFonts w:hint="eastAsia" w:ascii="黑体" w:hAnsi="黑体" w:eastAsia="黑体"/>
        </w:rPr>
        <w:t>二、建设原则</w:t>
      </w:r>
    </w:p>
    <w:p>
      <w:pPr>
        <w:tabs>
          <w:tab w:val="left" w:pos="742"/>
        </w:tabs>
        <w:spacing w:line="600" w:lineRule="exact"/>
        <w:ind w:firstLine="640" w:firstLineChars="200"/>
      </w:pPr>
      <w:r>
        <w:rPr>
          <w:rFonts w:hint="eastAsia"/>
        </w:rPr>
        <w:t>面向各类高校。在不同类型的普通本科高校建设一流本科专业，鼓励分类发展、特色发展。</w:t>
      </w:r>
    </w:p>
    <w:p>
      <w:pPr>
        <w:tabs>
          <w:tab w:val="left" w:pos="742"/>
        </w:tabs>
        <w:spacing w:line="600" w:lineRule="exact"/>
        <w:ind w:firstLine="640" w:firstLineChars="200"/>
      </w:pPr>
      <w:r>
        <w:rPr>
          <w:rFonts w:hint="eastAsia"/>
        </w:rPr>
        <w:t>面向全部专业。覆盖全部</w:t>
      </w:r>
      <w:r>
        <w:t>92个本科专业类，分年度开展一流本科专业点建设。</w:t>
      </w:r>
    </w:p>
    <w:p>
      <w:pPr>
        <w:tabs>
          <w:tab w:val="left" w:pos="742"/>
        </w:tabs>
        <w:spacing w:line="600" w:lineRule="exact"/>
        <w:ind w:firstLine="640" w:firstLineChars="200"/>
      </w:pPr>
      <w:r>
        <w:rPr>
          <w:rFonts w:hint="eastAsia"/>
        </w:rPr>
        <w:t>突出示范领跑。建设新工科、新医科、新农科、新文科示范性本科专业，引领带动高校优化专业结构、促进专业建设质量提升，推动形成高水平人才培养体系。</w:t>
      </w:r>
    </w:p>
    <w:p>
      <w:pPr>
        <w:tabs>
          <w:tab w:val="left" w:pos="742"/>
        </w:tabs>
        <w:spacing w:line="600" w:lineRule="exact"/>
        <w:ind w:firstLine="640" w:firstLineChars="200"/>
      </w:pPr>
      <w:r>
        <w:rPr>
          <w:rFonts w:hint="eastAsia"/>
        </w:rPr>
        <w:t>分“赛道”建设。中央部门所属高校、地方高校名额分列，向地方高校倾斜；鼓励支持高校在服务国家和区域经济社会发展中建设一流本科专业。</w:t>
      </w:r>
    </w:p>
    <w:p>
      <w:pPr>
        <w:tabs>
          <w:tab w:val="left" w:pos="742"/>
        </w:tabs>
        <w:spacing w:line="600" w:lineRule="exact"/>
        <w:ind w:firstLine="640" w:firstLineChars="200"/>
      </w:pPr>
      <w:r>
        <w:rPr>
          <w:rFonts w:hint="eastAsia"/>
        </w:rPr>
        <w:t>“两步走”实施。报送的专业第一步被确定为国家级一流本科专业建设点；教育部组织开展专业认证，通过后再确定为国家级一流本科专业。</w:t>
      </w:r>
    </w:p>
    <w:p>
      <w:pPr>
        <w:tabs>
          <w:tab w:val="left" w:pos="742"/>
        </w:tabs>
        <w:spacing w:line="600" w:lineRule="exact"/>
        <w:ind w:firstLine="640" w:firstLineChars="200"/>
        <w:rPr>
          <w:rFonts w:ascii="黑体" w:hAnsi="黑体" w:eastAsia="黑体"/>
        </w:rPr>
      </w:pPr>
      <w:r>
        <w:rPr>
          <w:rFonts w:hint="eastAsia" w:ascii="黑体" w:hAnsi="黑体" w:eastAsia="黑体"/>
        </w:rPr>
        <w:t>三、建设方式</w:t>
      </w:r>
    </w:p>
    <w:p>
      <w:pPr>
        <w:tabs>
          <w:tab w:val="left" w:pos="742"/>
        </w:tabs>
        <w:spacing w:line="600" w:lineRule="exact"/>
        <w:ind w:firstLine="640" w:firstLineChars="200"/>
      </w:pPr>
      <w:r>
        <w:t>1.国家级一流本科专业建设工作分三年完成。每年3月启动，经高校网上报送、教育主管部门或高校提交汇总材料、高等学校教学指导委员会提出推荐意见等，确定建设点名单，当年10月公布结果。</w:t>
      </w:r>
    </w:p>
    <w:p>
      <w:pPr>
        <w:tabs>
          <w:tab w:val="left" w:pos="742"/>
        </w:tabs>
        <w:spacing w:line="600" w:lineRule="exact"/>
        <w:ind w:firstLine="640" w:firstLineChars="200"/>
      </w:pPr>
      <w:r>
        <w:t>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pPr>
        <w:tabs>
          <w:tab w:val="left" w:pos="742"/>
        </w:tabs>
        <w:spacing w:line="600" w:lineRule="exact"/>
        <w:ind w:firstLine="640" w:firstLineChars="200"/>
      </w:pPr>
      <w:r>
        <w:t>3.入选省级一流本科专业建设点的专业，如同时入选国家级一流本科专业建设点，按照国家级一流本科专业建设点公布。空出的省级一流本科专业建设点名额可延至下一年度使用。</w:t>
      </w:r>
    </w:p>
    <w:p>
      <w:pPr>
        <w:tabs>
          <w:tab w:val="left" w:pos="742"/>
        </w:tabs>
        <w:spacing w:line="600" w:lineRule="exact"/>
        <w:ind w:firstLine="640" w:firstLineChars="200"/>
      </w:pPr>
      <w:r>
        <w:t>4.根据2019、2020年一流本科专业点建设情况，2021年将对各专业类国家级一流本科专业的建设数量和建设进度进行统筹。</w:t>
      </w:r>
    </w:p>
    <w:p>
      <w:pPr>
        <w:tabs>
          <w:tab w:val="left" w:pos="742"/>
        </w:tabs>
        <w:spacing w:line="600" w:lineRule="exact"/>
        <w:ind w:firstLine="640" w:firstLineChars="200"/>
        <w:rPr>
          <w:rFonts w:ascii="黑体" w:hAnsi="黑体" w:eastAsia="黑体"/>
        </w:rPr>
      </w:pPr>
      <w:r>
        <w:rPr>
          <w:rFonts w:hint="eastAsia" w:ascii="黑体" w:hAnsi="黑体" w:eastAsia="黑体"/>
        </w:rPr>
        <w:t>四、报送条件</w:t>
      </w:r>
    </w:p>
    <w:p>
      <w:pPr>
        <w:tabs>
          <w:tab w:val="left" w:pos="742"/>
        </w:tabs>
        <w:spacing w:line="600" w:lineRule="exact"/>
        <w:ind w:firstLine="640" w:firstLineChars="200"/>
      </w:pPr>
      <w:r>
        <w:rPr>
          <w:rFonts w:hint="eastAsia"/>
        </w:rPr>
        <w:t>（一）报送高校需具备的条件</w:t>
      </w:r>
    </w:p>
    <w:p>
      <w:pPr>
        <w:tabs>
          <w:tab w:val="left" w:pos="742"/>
        </w:tabs>
        <w:spacing w:line="600" w:lineRule="exact"/>
        <w:ind w:firstLine="640" w:firstLineChars="200"/>
      </w:pPr>
      <w:r>
        <w:t>1.全面落实“以本为本、四个回归”。坚持立德树人，切实巩固人才培养中心地位和本科教学基础地位，把思想政治教育贯穿人才培养全过程，着力深化教育教学改革，全面提升人才培养质量。</w:t>
      </w:r>
    </w:p>
    <w:p>
      <w:pPr>
        <w:tabs>
          <w:tab w:val="left" w:pos="742"/>
        </w:tabs>
        <w:spacing w:line="600" w:lineRule="exact"/>
        <w:ind w:firstLine="640" w:firstLineChars="200"/>
      </w:pPr>
      <w:r>
        <w:t>2.积极推进新工科、新医科、新农科、新文科建设。紧扣国家发展需求，主动适应新一轮科技革命和产业变革，着力深化专业综合改革，优化专业结构，积极发展新兴专业，改造提升传统专业，打造特色优势专业。</w:t>
      </w:r>
    </w:p>
    <w:p>
      <w:pPr>
        <w:tabs>
          <w:tab w:val="left" w:pos="742"/>
        </w:tabs>
        <w:spacing w:line="600" w:lineRule="exact"/>
        <w:ind w:firstLine="640" w:firstLineChars="200"/>
      </w:pPr>
      <w:r>
        <w:t>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pPr>
        <w:tabs>
          <w:tab w:val="left" w:pos="742"/>
        </w:tabs>
        <w:spacing w:line="600" w:lineRule="exact"/>
        <w:ind w:firstLine="640" w:firstLineChars="200"/>
      </w:pPr>
      <w:r>
        <w:t>4.努力培育以人才培养为中心的质量文化。坚持学生中心、产出导向、持续改进的基本理念，建立健全自查自纠的质量保障机制并持续有效实施，将对质量的追求内化为全校师生的共同价值追求和行为自觉。</w:t>
      </w:r>
    </w:p>
    <w:p>
      <w:pPr>
        <w:tabs>
          <w:tab w:val="left" w:pos="742"/>
        </w:tabs>
        <w:spacing w:line="600" w:lineRule="exact"/>
        <w:ind w:firstLine="640" w:firstLineChars="200"/>
      </w:pPr>
      <w:r>
        <w:rPr>
          <w:rFonts w:hint="eastAsia"/>
        </w:rPr>
        <w:t>（二）报送专业需具备的条件</w:t>
      </w:r>
    </w:p>
    <w:p>
      <w:pPr>
        <w:tabs>
          <w:tab w:val="left" w:pos="742"/>
        </w:tabs>
        <w:spacing w:line="600" w:lineRule="exact"/>
        <w:ind w:firstLine="640" w:firstLineChars="200"/>
      </w:pPr>
      <w:r>
        <w:t>1.专业定位明确。服务面向清晰，适应国家和区域经济社会发展需要，符合学校发展定位和办学方向。</w:t>
      </w:r>
    </w:p>
    <w:p>
      <w:pPr>
        <w:tabs>
          <w:tab w:val="left" w:pos="742"/>
        </w:tabs>
        <w:spacing w:line="600" w:lineRule="exact"/>
        <w:ind w:firstLine="640" w:firstLineChars="200"/>
      </w:pPr>
      <w:r>
        <w:t>2.专业管理规范。切实落实本科专业国家标准要求，人才培养方案科学合理，教育教学管理规范有序。近三年未出现重大安全责任事故。</w:t>
      </w:r>
    </w:p>
    <w:p>
      <w:pPr>
        <w:tabs>
          <w:tab w:val="left" w:pos="742"/>
        </w:tabs>
        <w:spacing w:line="600" w:lineRule="exact"/>
        <w:ind w:firstLine="640" w:firstLineChars="200"/>
      </w:pPr>
      <w:r>
        <w:t>3.改革成效突出。持续深化教育教学改革，教育理念先进，教学内容更新及时，方法手段不断创新，以新理念、新形态、新方法引领带动新工科、新医科、新农科、新文科建设。</w:t>
      </w:r>
    </w:p>
    <w:p>
      <w:pPr>
        <w:tabs>
          <w:tab w:val="left" w:pos="742"/>
        </w:tabs>
        <w:spacing w:line="600" w:lineRule="exact"/>
        <w:ind w:firstLine="640" w:firstLineChars="200"/>
      </w:pPr>
      <w:r>
        <w:t>4.师资力量雄厚。不断加强师资队伍和基层教学组织建设，教育教学研究活动广泛开展，专业教学团队结构合理、整体素质水平高。</w:t>
      </w:r>
    </w:p>
    <w:p>
      <w:pPr>
        <w:tabs>
          <w:tab w:val="left" w:pos="742"/>
        </w:tabs>
        <w:spacing w:line="600" w:lineRule="exact"/>
        <w:ind w:firstLine="640" w:firstLineChars="200"/>
      </w:pPr>
      <w:r>
        <w:t>5.培养质量一流。坚持以学生为中心，促进学生全面发展，有效激发学生学习兴趣和潜能，增强创新精神、实践能力和社会责任感，毕业生行业认可度高、社会整体评价好。</w:t>
      </w:r>
    </w:p>
    <w:p>
      <w:pPr>
        <w:tabs>
          <w:tab w:val="left" w:pos="742"/>
        </w:tabs>
        <w:spacing w:line="600" w:lineRule="exact"/>
        <w:ind w:firstLine="640" w:firstLineChars="200"/>
        <w:rPr>
          <w:rFonts w:ascii="黑体" w:hAnsi="黑体" w:eastAsia="黑体"/>
        </w:rPr>
      </w:pPr>
      <w:r>
        <w:rPr>
          <w:rFonts w:hint="eastAsia" w:ascii="黑体" w:hAnsi="黑体" w:eastAsia="黑体"/>
        </w:rPr>
        <w:t>五、报送办法</w:t>
      </w:r>
    </w:p>
    <w:p>
      <w:pPr>
        <w:tabs>
          <w:tab w:val="left" w:pos="742"/>
        </w:tabs>
        <w:spacing w:line="600" w:lineRule="exact"/>
        <w:ind w:firstLine="640" w:firstLineChars="200"/>
      </w:pPr>
      <w:r>
        <w:rPr>
          <w:rFonts w:hint="eastAsia"/>
        </w:rPr>
        <w:t>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pPr>
        <w:tabs>
          <w:tab w:val="left" w:pos="742"/>
        </w:tabs>
        <w:spacing w:line="600" w:lineRule="exact"/>
        <w:ind w:firstLine="640" w:firstLineChars="200"/>
        <w:rPr>
          <w:rFonts w:ascii="黑体" w:hAnsi="黑体" w:eastAsia="黑体"/>
        </w:rPr>
      </w:pPr>
      <w:r>
        <w:rPr>
          <w:rFonts w:hint="eastAsia" w:ascii="黑体" w:hAnsi="黑体" w:eastAsia="黑体"/>
        </w:rPr>
        <w:t>六、组织保障</w:t>
      </w:r>
    </w:p>
    <w:p>
      <w:pPr>
        <w:tabs>
          <w:tab w:val="left" w:pos="742"/>
        </w:tabs>
        <w:spacing w:line="600" w:lineRule="exact"/>
        <w:ind w:firstLine="640" w:firstLineChars="200"/>
      </w:pPr>
      <w:r>
        <w:rPr>
          <w:rFonts w:hint="eastAsia"/>
        </w:rPr>
        <w:t>（一）构建三级实施体系。教育部等</w:t>
      </w:r>
      <w:r>
        <w:t>14个“六卓越一拔尖”计划2.0负责部委（单位）统筹一流本科专业建设“双万计划”组织实施工作，指导各地、各高校落实有关文件要求，加强一流本科专业建设，推动构建国家、地方、高校三级实施体系。</w:t>
      </w:r>
    </w:p>
    <w:p>
      <w:pPr>
        <w:tabs>
          <w:tab w:val="left" w:pos="742"/>
        </w:tabs>
        <w:spacing w:line="600" w:lineRule="exact"/>
        <w:ind w:firstLine="640" w:firstLineChars="200"/>
      </w:pPr>
      <w:r>
        <w:rPr>
          <w:rFonts w:hint="eastAsia"/>
        </w:rPr>
        <w:t>（二）完善经费保障。中央部门所属高校应当统筹利用中央高校教育教学改革专项等中央高校预算拨款和其他各类资源，各地应当统筹地方财政高等教育资金和中央支持地方高校改革发展资金，支持一流本科专业建设。</w:t>
      </w:r>
    </w:p>
    <w:p>
      <w:pPr>
        <w:tabs>
          <w:tab w:val="left" w:pos="742"/>
        </w:tabs>
        <w:spacing w:line="600" w:lineRule="exact"/>
        <w:ind w:firstLine="640" w:firstLineChars="200"/>
      </w:pPr>
      <w:r>
        <w:rPr>
          <w:rFonts w:hint="eastAsia"/>
        </w:rPr>
        <w:t>（三）建立动态调整机制。教育部和省级教育行政部门加强对计划实施过程跟踪，针对一流本科专业建设中存在的问题，提出改进意见建议，对于建设质量不达标、出现严重质量问题的专业建设点予以撤销。</w:t>
      </w:r>
    </w:p>
    <w:p>
      <w:pPr>
        <w:tabs>
          <w:tab w:val="left" w:pos="742"/>
        </w:tabs>
        <w:spacing w:line="600" w:lineRule="exact"/>
        <w:ind w:firstLine="640" w:firstLineChars="200"/>
        <w:rPr>
          <w:rFonts w:ascii="黑体" w:hAnsi="黑体" w:eastAsia="黑体"/>
        </w:rPr>
      </w:pPr>
      <w:r>
        <w:rPr>
          <w:rFonts w:hint="eastAsia" w:ascii="黑体" w:hAnsi="黑体" w:eastAsia="黑体"/>
        </w:rPr>
        <w:t>七、关于</w:t>
      </w:r>
      <w:r>
        <w:rPr>
          <w:rFonts w:ascii="黑体" w:hAnsi="黑体" w:eastAsia="黑体"/>
        </w:rPr>
        <w:t>2019年国家级一流本科专业建设点报送工作</w:t>
      </w:r>
    </w:p>
    <w:p>
      <w:pPr>
        <w:tabs>
          <w:tab w:val="left" w:pos="742"/>
        </w:tabs>
        <w:spacing w:line="600" w:lineRule="exact"/>
        <w:ind w:firstLine="640" w:firstLineChars="200"/>
      </w:pPr>
      <w:r>
        <w:t>1.报送数量。中央部门所属高校、部省合建高校2019年度报送的专业点数不超过本校本科专业布点数25%；各省级教育行政部门2019年度报送专业点数量不超过本地所属地方高校本科专业布点总数的15%。</w:t>
      </w:r>
    </w:p>
    <w:p>
      <w:pPr>
        <w:tabs>
          <w:tab w:val="left" w:pos="742"/>
        </w:tabs>
        <w:spacing w:line="600" w:lineRule="exact"/>
        <w:ind w:firstLine="640" w:firstLineChars="200"/>
      </w:pPr>
      <w:r>
        <w:t>2.在线登录账号和密码。</w:t>
      </w:r>
      <w:r>
        <w:rPr>
          <w:rFonts w:hint="eastAsia"/>
        </w:rPr>
        <w:t>高校使用“高等教育质量监测国家数据平台”的登录账号及密码。各</w:t>
      </w:r>
      <w:r>
        <w:t>省级教育行政部门、中央有关部门（单位）教育司（局）须明确工作联系人，于2019年4月15日前将姓名、单位、座机、手机、电子邮件、传真号码报至教育部高等教育司文科处，获取报送系统登录账号及密码。</w:t>
      </w:r>
    </w:p>
    <w:p>
      <w:pPr>
        <w:tabs>
          <w:tab w:val="left" w:pos="742"/>
        </w:tabs>
        <w:spacing w:line="600" w:lineRule="exact"/>
        <w:ind w:firstLine="640" w:firstLineChars="200"/>
      </w:pPr>
      <w:r>
        <w:t>3.在线报送时间和网址。在线报送时间为2019年4月20日—6月30日，请登录“国家级一流本科专业建设报送系统”（网址：http://udb.heec.edu.cn），按照系统提示填报。</w:t>
      </w:r>
    </w:p>
    <w:p>
      <w:pPr>
        <w:tabs>
          <w:tab w:val="left" w:pos="742"/>
        </w:tabs>
        <w:spacing w:line="600" w:lineRule="exact"/>
        <w:ind w:firstLine="640" w:firstLineChars="200"/>
      </w:pPr>
      <w:r>
        <w:t>4.在线审核和提交。各省级教育行政部门、中央有关部门（单位）教育司（局）须在2019年6月30日前，登录报送系统，严格按照限额，完成所属高校报送信息的在线审核和提交工作。</w:t>
      </w:r>
    </w:p>
    <w:p>
      <w:pPr>
        <w:tabs>
          <w:tab w:val="left" w:pos="742"/>
        </w:tabs>
        <w:spacing w:line="600" w:lineRule="exact"/>
        <w:ind w:firstLine="640" w:firstLineChars="200"/>
      </w:pPr>
      <w:r>
        <w:t>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pPr>
        <w:tabs>
          <w:tab w:val="left" w:pos="742"/>
        </w:tabs>
        <w:spacing w:line="600" w:lineRule="exact"/>
        <w:ind w:firstLine="640" w:firstLineChars="200"/>
      </w:pPr>
      <w:r>
        <w:rPr>
          <w:rFonts w:hint="eastAsia"/>
        </w:rPr>
        <w:t>联系人及电话：教育部高等教育司，朱蓓蓓、徐健，</w:t>
      </w:r>
      <w:r>
        <w:t>010-66097823；教育部高等教育教学评估中心，郭栋、南方，010-82213390、82213395。</w:t>
      </w:r>
    </w:p>
    <w:p>
      <w:pPr>
        <w:tabs>
          <w:tab w:val="left" w:pos="742"/>
        </w:tabs>
        <w:spacing w:line="600" w:lineRule="exact"/>
        <w:ind w:firstLine="640" w:firstLineChars="200"/>
      </w:pPr>
      <w:r>
        <w:rPr>
          <w:rFonts w:hint="eastAsia"/>
        </w:rPr>
        <w:t>附件：</w:t>
      </w:r>
      <w:r>
        <w:t>1.国家级一流本科专业分专业类建设规划</w:t>
      </w:r>
    </w:p>
    <w:p>
      <w:pPr>
        <w:tabs>
          <w:tab w:val="left" w:pos="742"/>
        </w:tabs>
        <w:spacing w:line="600" w:lineRule="exact"/>
        <w:ind w:firstLine="640" w:firstLineChars="200"/>
      </w:pPr>
      <w:r>
        <w:rPr>
          <w:rFonts w:hint="eastAsia"/>
        </w:rPr>
        <w:t>　　　</w:t>
      </w:r>
      <w:r>
        <w:t>2.国家级一流本科专业建设点信息采集表</w:t>
      </w:r>
    </w:p>
    <w:p>
      <w:pPr>
        <w:tabs>
          <w:tab w:val="left" w:pos="742"/>
        </w:tabs>
        <w:spacing w:line="600" w:lineRule="exact"/>
        <w:ind w:firstLine="640" w:firstLineChars="200"/>
      </w:pPr>
    </w:p>
    <w:p>
      <w:pPr>
        <w:tabs>
          <w:tab w:val="left" w:pos="742"/>
        </w:tabs>
        <w:spacing w:line="600" w:lineRule="exact"/>
        <w:ind w:firstLine="640" w:firstLineChars="200"/>
        <w:jc w:val="right"/>
      </w:pPr>
      <w:r>
        <w:rPr>
          <w:rFonts w:hint="eastAsia"/>
        </w:rPr>
        <w:t>教育部办公厅</w:t>
      </w:r>
    </w:p>
    <w:p>
      <w:pPr>
        <w:tabs>
          <w:tab w:val="left" w:pos="742"/>
        </w:tabs>
        <w:spacing w:line="600" w:lineRule="exact"/>
        <w:ind w:firstLine="640" w:firstLineChars="200"/>
        <w:jc w:val="right"/>
      </w:pPr>
      <w:bookmarkStart w:id="0" w:name="_GoBack"/>
      <w:bookmarkEnd w:id="0"/>
    </w:p>
    <w:p>
      <w:pPr>
        <w:tabs>
          <w:tab w:val="left" w:pos="742"/>
        </w:tabs>
        <w:spacing w:line="600" w:lineRule="exact"/>
        <w:ind w:firstLine="640" w:firstLineChars="200"/>
        <w:jc w:val="right"/>
      </w:pPr>
      <w:r>
        <w:t>2019年4月2日</w:t>
      </w:r>
    </w:p>
    <w:sectPr>
      <w:footerReference r:id="rId3" w:type="default"/>
      <w:pgSz w:w="11906" w:h="16838"/>
      <w:pgMar w:top="1418" w:right="1588" w:bottom="1418"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275412"/>
      <w:docPartObj>
        <w:docPartGallery w:val="AutoText"/>
      </w:docPartObj>
    </w:sdtPr>
    <w:sdtEndPr>
      <w:rPr>
        <w:sz w:val="28"/>
        <w:szCs w:val="28"/>
      </w:rPr>
    </w:sdtEndPr>
    <w:sdtContent>
      <w:p>
        <w:pPr>
          <w:pStyle w:val="4"/>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00"/>
    <w:rsid w:val="000B3FA0"/>
    <w:rsid w:val="00306A12"/>
    <w:rsid w:val="003F61B1"/>
    <w:rsid w:val="004D2300"/>
    <w:rsid w:val="00562E75"/>
    <w:rsid w:val="00596847"/>
    <w:rsid w:val="00726B29"/>
    <w:rsid w:val="00B1646B"/>
    <w:rsid w:val="00B801AA"/>
    <w:rsid w:val="00BD1D99"/>
    <w:rsid w:val="00C220EC"/>
    <w:rsid w:val="00CB2097"/>
    <w:rsid w:val="00D128BC"/>
    <w:rsid w:val="00D515C0"/>
    <w:rsid w:val="00E1466D"/>
    <w:rsid w:val="00E66A0E"/>
    <w:rsid w:val="0EEE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仿宋_GB2312" w:eastAsia="仿宋_GB2312" w:cs="仿宋_GB2312" w:hAnsiTheme="minorHAnsi"/>
      <w:sz w:val="32"/>
      <w:szCs w:val="32"/>
      <w:u w:color="000000"/>
      <w:lang w:val="en-US" w:eastAsia="zh-CN" w:bidi="ar-SA"/>
    </w:rPr>
  </w:style>
  <w:style w:type="paragraph" w:styleId="2">
    <w:name w:val="heading 1"/>
    <w:basedOn w:val="1"/>
    <w:next w:val="1"/>
    <w:link w:val="10"/>
    <w:qFormat/>
    <w:uiPriority w:val="9"/>
    <w:pPr>
      <w:keepNext/>
      <w:keepLines/>
      <w:spacing w:before="100" w:beforeAutospacing="1" w:after="100" w:afterAutospacing="1" w:line="640" w:lineRule="exact"/>
      <w:jc w:val="center"/>
      <w:outlineLvl w:val="0"/>
    </w:pPr>
    <w:rPr>
      <w:rFonts w:ascii="方正小标宋简体" w:eastAsia="方正小标宋简体"/>
      <w:b/>
      <w:bCs/>
      <w:kern w:val="44"/>
      <w:sz w:val="44"/>
      <w:szCs w:val="44"/>
    </w:rPr>
  </w:style>
  <w:style w:type="paragraph" w:styleId="3">
    <w:name w:val="heading 2"/>
    <w:basedOn w:val="1"/>
    <w:next w:val="1"/>
    <w:link w:val="13"/>
    <w:semiHidden/>
    <w:unhideWhenUsed/>
    <w:qFormat/>
    <w:uiPriority w:val="9"/>
    <w:pPr>
      <w:keepNext/>
      <w:keepLines/>
      <w:spacing w:before="120" w:after="120"/>
      <w:jc w:val="left"/>
      <w:outlineLvl w:val="1"/>
    </w:pPr>
    <w:rPr>
      <w:rFonts w:eastAsia="黑体" w:asciiTheme="majorHAnsi" w:hAnsiTheme="majorHAnsi" w:cstheme="majorBidi"/>
      <w:b/>
      <w:bC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ind w:firstLine="640" w:firstLineChars="200"/>
    </w:pPr>
  </w:style>
  <w:style w:type="paragraph" w:styleId="5">
    <w:name w:val="header"/>
    <w:basedOn w:val="1"/>
    <w:link w:val="8"/>
    <w:unhideWhenUsed/>
    <w:qFormat/>
    <w:uiPriority w:val="99"/>
    <w:pPr>
      <w:tabs>
        <w:tab w:val="center" w:pos="4153"/>
        <w:tab w:val="right" w:pos="8306"/>
      </w:tabs>
      <w:snapToGrid w:val="0"/>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rFonts w:ascii="仿宋_GB2312" w:eastAsia="仿宋_GB2312"/>
      <w:sz w:val="32"/>
      <w:szCs w:val="32"/>
    </w:rPr>
  </w:style>
  <w:style w:type="character" w:customStyle="1" w:styleId="10">
    <w:name w:val="标题 1 字符"/>
    <w:basedOn w:val="7"/>
    <w:link w:val="2"/>
    <w:qFormat/>
    <w:uiPriority w:val="9"/>
    <w:rPr>
      <w:rFonts w:ascii="方正小标宋简体" w:eastAsia="方正小标宋简体"/>
      <w:b/>
      <w:bCs/>
      <w:kern w:val="44"/>
      <w:sz w:val="44"/>
      <w:szCs w:val="44"/>
    </w:rPr>
  </w:style>
  <w:style w:type="paragraph" w:customStyle="1" w:styleId="11">
    <w:name w:val="标题 #1"/>
    <w:basedOn w:val="1"/>
    <w:link w:val="12"/>
    <w:qFormat/>
    <w:uiPriority w:val="0"/>
    <w:pPr>
      <w:shd w:val="clear" w:color="auto" w:fill="FFFFFF"/>
      <w:spacing w:before="120" w:beforeLines="50" w:after="120"/>
      <w:outlineLvl w:val="0"/>
    </w:pPr>
    <w:rPr>
      <w:rFonts w:ascii="宋体" w:hAnsi="宋体" w:eastAsia="方正小标宋简体" w:cs="宋体"/>
      <w:color w:val="000000"/>
      <w:sz w:val="44"/>
      <w:szCs w:val="72"/>
    </w:rPr>
  </w:style>
  <w:style w:type="character" w:customStyle="1" w:styleId="12">
    <w:name w:val="标题 #1_"/>
    <w:basedOn w:val="7"/>
    <w:link w:val="11"/>
    <w:qFormat/>
    <w:uiPriority w:val="0"/>
    <w:rPr>
      <w:rFonts w:ascii="宋体" w:hAnsi="宋体" w:eastAsia="方正小标宋简体" w:cs="宋体"/>
      <w:color w:val="000000"/>
      <w:sz w:val="44"/>
      <w:szCs w:val="72"/>
      <w:shd w:val="clear" w:color="auto" w:fill="FFFFFF"/>
    </w:rPr>
  </w:style>
  <w:style w:type="character" w:customStyle="1" w:styleId="13">
    <w:name w:val="标题 2 字符"/>
    <w:basedOn w:val="7"/>
    <w:link w:val="3"/>
    <w:semiHidden/>
    <w:qFormat/>
    <w:uiPriority w:val="9"/>
    <w:rPr>
      <w:rFonts w:eastAsia="黑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276BF-A08A-415B-ADB4-CF2C37C93A7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449</Words>
  <Characters>2565</Characters>
  <Lines>21</Lines>
  <Paragraphs>6</Paragraphs>
  <TotalTime>3</TotalTime>
  <ScaleCrop>false</ScaleCrop>
  <LinksUpToDate>false</LinksUpToDate>
  <CharactersWithSpaces>3008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2019-04-09T11:08:00Z</dcterms:created>
  <dc:creator>GG GG</dc:creator>
  <cp:lastModifiedBy>zfxbsu</cp:lastModifiedBy>
  <dcterms:modified xsi:type="dcterms:W3CDTF">2020-10-05T02:19:51Z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