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20"/>
        <w:jc w:val="left"/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附件：</w:t>
      </w:r>
    </w:p>
    <w:p>
      <w:pPr>
        <w:spacing w:line="560" w:lineRule="exact"/>
        <w:ind w:right="420"/>
        <w:jc w:val="center"/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教务系统“教学计划”模块功能相关操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作说明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首先，登录URP高校教务管理系统。</w:t>
      </w:r>
    </w:p>
    <w:p>
      <w:pPr>
        <w:pStyle w:val="4"/>
        <w:ind w:left="360" w:firstLine="0" w:firstLineChars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490720" cy="239966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选择“培养方案”。</w:t>
      </w:r>
    </w:p>
    <w:p>
      <w:pPr>
        <w:pStyle w:val="4"/>
        <w:ind w:left="360" w:firstLine="0" w:firstLineChars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529455" cy="2273300"/>
            <wp:effectExtent l="0" t="0" r="444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573405</wp:posOffset>
            </wp:positionV>
            <wp:extent cx="4458335" cy="1971675"/>
            <wp:effectExtent l="0" t="0" r="18415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点击“统计报表”—“教学安排”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选择“学年学期”“年级”及“院系”，点击查询。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（例如：2018-2019学年秋 2016级 管理学院）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499610" cy="2076450"/>
            <wp:effectExtent l="0" t="0" r="152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在培养方案列表里选择所在专业（实验班）（例如：公共事业管理），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则出现“教学安排表”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795520" cy="2218055"/>
            <wp:effectExtent l="0" t="0" r="5080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选择“排序”，依次双击[课程属性] [方案课组][课程号]后进行排序。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drawing>
          <wp:inline distT="0" distB="0" distL="0" distR="0">
            <wp:extent cx="4569460" cy="1648460"/>
            <wp:effectExtent l="0" t="0" r="2540" b="889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Vrind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770755" cy="2125345"/>
            <wp:effectExtent l="0" t="0" r="10795" b="825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en-US"/>
        </w:rPr>
        <w:t>最后，选择“打印”。</w:t>
      </w:r>
    </w:p>
    <w:p>
      <w:r>
        <w:rPr>
          <w:rFonts w:asciiTheme="minorEastAsia" w:hAnsiTheme="minorEastAsia"/>
          <w:sz w:val="32"/>
          <w:szCs w:val="32"/>
        </w:rPr>
        <w:drawing>
          <wp:inline distT="0" distB="0" distL="0" distR="0">
            <wp:extent cx="4876800" cy="2172335"/>
            <wp:effectExtent l="0" t="0" r="0" b="1841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4AFE"/>
    <w:multiLevelType w:val="multilevel"/>
    <w:tmpl w:val="6C484A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D6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dcterms:modified xsi:type="dcterms:W3CDTF">2018-03-20T07:06:58Z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