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98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附件3：</w:t>
      </w:r>
    </w:p>
    <w:p>
      <w:pPr>
        <w:widowControl/>
        <w:spacing w:before="156" w:beforeLines="50" w:after="156" w:afterLines="50" w:line="360" w:lineRule="auto"/>
        <w:jc w:val="center"/>
        <w:rPr>
          <w:rFonts w:hint="eastAsia" w:ascii="方正小标宋简体" w:hAnsi="华文中宋" w:eastAsia="方正小标宋简体" w:cs="华文中宋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sz w:val="36"/>
          <w:szCs w:val="36"/>
          <w:lang w:val="en-US" w:eastAsia="zh-CN"/>
        </w:rPr>
        <w:t>课程教学大纲制定工作负责单位安排表</w:t>
      </w:r>
    </w:p>
    <w:tbl>
      <w:tblPr>
        <w:tblStyle w:val="4"/>
        <w:tblW w:w="9225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30"/>
        <w:gridCol w:w="3570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30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平台-课程类型</w:t>
            </w:r>
          </w:p>
        </w:tc>
        <w:tc>
          <w:tcPr>
            <w:tcW w:w="3570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课程</w:t>
            </w:r>
          </w:p>
        </w:tc>
        <w:tc>
          <w:tcPr>
            <w:tcW w:w="3225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负责单位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30" w:type="dxa"/>
            <w:vMerge w:val="restart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通识平台-</w:t>
            </w:r>
          </w:p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基础素质课程</w:t>
            </w:r>
          </w:p>
        </w:tc>
        <w:tc>
          <w:tcPr>
            <w:tcW w:w="357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思想政治类</w:t>
            </w:r>
          </w:p>
        </w:tc>
        <w:tc>
          <w:tcPr>
            <w:tcW w:w="3225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95" w:hRule="atLeast"/>
        </w:trPr>
        <w:tc>
          <w:tcPr>
            <w:tcW w:w="2430" w:type="dxa"/>
            <w:vMerge w:val="continue"/>
            <w:tcBorders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大学外语</w:t>
            </w:r>
          </w:p>
        </w:tc>
        <w:tc>
          <w:tcPr>
            <w:tcW w:w="3225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国际体育组织学院</w:t>
            </w:r>
          </w:p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（外国语学院）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30" w:type="dxa"/>
            <w:vMerge w:val="continue"/>
            <w:tcBorders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大学体育</w:t>
            </w:r>
          </w:p>
        </w:tc>
        <w:tc>
          <w:tcPr>
            <w:tcW w:w="3225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竞技体育学院</w:t>
            </w:r>
          </w:p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教育学院</w:t>
            </w:r>
          </w:p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各运动项目学院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30" w:type="dxa"/>
            <w:vMerge w:val="continue"/>
            <w:tcBorders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大学生心理健康教育</w:t>
            </w:r>
          </w:p>
        </w:tc>
        <w:tc>
          <w:tcPr>
            <w:tcW w:w="3225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学生工作部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30" w:type="dxa"/>
            <w:vMerge w:val="continue"/>
            <w:tcBorders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大学生职业生涯规划、大学生就业指导</w:t>
            </w:r>
          </w:p>
        </w:tc>
        <w:tc>
          <w:tcPr>
            <w:tcW w:w="3225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招生与就业工作处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30" w:type="dxa"/>
            <w:vMerge w:val="continue"/>
            <w:tcBorders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计算机应用基础</w:t>
            </w:r>
          </w:p>
        </w:tc>
        <w:tc>
          <w:tcPr>
            <w:tcW w:w="3225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信息网络中心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30" w:type="dxa"/>
            <w:vMerge w:val="continue"/>
            <w:tcBorders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70" w:type="dxa"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写作与思维训练</w:t>
            </w:r>
          </w:p>
        </w:tc>
        <w:tc>
          <w:tcPr>
            <w:tcW w:w="3225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国际文化学院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6000" w:type="dxa"/>
            <w:gridSpan w:val="2"/>
            <w:tcBorders/>
          </w:tcPr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专业平台-学科基础课程、专业核心课程</w:t>
            </w:r>
          </w:p>
          <w:p>
            <w:pPr>
              <w:spacing w:line="560" w:lineRule="exact"/>
              <w:ind w:right="98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专业方向课程</w:t>
            </w:r>
          </w:p>
        </w:tc>
        <w:tc>
          <w:tcPr>
            <w:tcW w:w="3225" w:type="dxa"/>
          </w:tcPr>
          <w:p>
            <w:pPr>
              <w:spacing w:line="560" w:lineRule="exact"/>
              <w:ind w:right="98"/>
              <w:jc w:val="center"/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32"/>
                <w:szCs w:val="32"/>
                <w:vertAlign w:val="baseline"/>
                <w:lang w:val="en-US" w:eastAsia="zh-CN"/>
              </w:rPr>
              <w:t>专业所属学院</w:t>
            </w:r>
            <w:bookmarkStart w:id="0" w:name="_GoBack"/>
            <w:bookmarkEnd w:id="0"/>
          </w:p>
        </w:tc>
      </w:tr>
    </w:tbl>
    <w:p>
      <w:pPr>
        <w:spacing w:line="560" w:lineRule="exact"/>
        <w:ind w:right="98"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35AF0"/>
    <w:rsid w:val="4BBB2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JXK</dc:creator>
  <cp:lastModifiedBy>zfxbsu</cp:lastModifiedBy>
  <dcterms:modified xsi:type="dcterms:W3CDTF">2018-07-09T09:51:30Z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